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18" w:type="dxa"/>
        <w:tblCellMar>
          <w:left w:w="0" w:type="dxa"/>
          <w:right w:w="0" w:type="dxa"/>
        </w:tblCellMar>
        <w:tblLook w:val="04A0"/>
      </w:tblPr>
      <w:tblGrid>
        <w:gridCol w:w="2864"/>
        <w:gridCol w:w="3747"/>
        <w:gridCol w:w="2960"/>
      </w:tblGrid>
      <w:tr w:rsidR="00C77E20" w:rsidRPr="00C77E20" w:rsidTr="00633059">
        <w:trPr>
          <w:jc w:val="right"/>
        </w:trPr>
        <w:tc>
          <w:tcPr>
            <w:tcW w:w="2864" w:type="dxa"/>
          </w:tcPr>
          <w:p w:rsidR="00C77E20" w:rsidRPr="00C77E20" w:rsidRDefault="00C77E20" w:rsidP="00C77E20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П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ринято</w:t>
            </w:r>
          </w:p>
          <w:p w:rsidR="00C77E20" w:rsidRPr="00C77E20" w:rsidRDefault="00C77E20" w:rsidP="00C77E20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на заседании педагогического Совета</w:t>
            </w:r>
          </w:p>
          <w:p w:rsidR="00C77E20" w:rsidRDefault="00C77E20" w:rsidP="00B71267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4"/>
                <w:szCs w:val="24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(протокол № </w:t>
            </w:r>
            <w:r w:rsidR="00B71267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1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  от </w:t>
            </w:r>
            <w:r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11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января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201</w:t>
            </w:r>
            <w:r w:rsidR="00633059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6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г.)</w:t>
            </w:r>
          </w:p>
        </w:tc>
        <w:tc>
          <w:tcPr>
            <w:tcW w:w="3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0" w:rsidRPr="00C77E20" w:rsidRDefault="00C77E20" w:rsidP="00C77E20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П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ринято</w:t>
            </w:r>
          </w:p>
          <w:p w:rsidR="00C77E20" w:rsidRPr="00C77E20" w:rsidRDefault="00C77E20" w:rsidP="00C77E20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на заседании </w:t>
            </w:r>
            <w:r w:rsidR="00633059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Управляющего 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Совета</w:t>
            </w:r>
          </w:p>
          <w:p w:rsidR="00C77E20" w:rsidRPr="00C77E20" w:rsidRDefault="00C77E20" w:rsidP="00B71267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(протокол № </w:t>
            </w:r>
            <w:r w:rsidR="00B71267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1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   от </w:t>
            </w:r>
            <w:r w:rsidR="00633059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11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</w:t>
            </w:r>
            <w:r w:rsidR="00633059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января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201</w:t>
            </w:r>
            <w:r w:rsidR="00633059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6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г.)</w:t>
            </w:r>
          </w:p>
        </w:tc>
        <w:tc>
          <w:tcPr>
            <w:tcW w:w="2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20" w:rsidRPr="00C77E20" w:rsidRDefault="00C77E20" w:rsidP="00C77E20">
            <w:pPr>
              <w:spacing w:before="25" w:after="25"/>
              <w:ind w:firstLine="142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Утверждено</w:t>
            </w:r>
          </w:p>
          <w:p w:rsidR="00C77E20" w:rsidRPr="00C77E20" w:rsidRDefault="00C77E20" w:rsidP="00C77E20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приказом директора школы</w:t>
            </w:r>
          </w:p>
          <w:p w:rsidR="00C77E20" w:rsidRPr="00C77E20" w:rsidRDefault="00C77E20" w:rsidP="00C77E20">
            <w:pPr>
              <w:spacing w:before="25" w:after="25"/>
              <w:ind w:firstLine="142"/>
              <w:jc w:val="left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от</w:t>
            </w:r>
            <w:r w:rsidR="00B71267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12 января 2016</w:t>
            </w:r>
            <w:r w:rsidR="00633059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г</w:t>
            </w: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 xml:space="preserve"> № </w:t>
            </w:r>
            <w:r w:rsidR="00B71267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01</w:t>
            </w:r>
          </w:p>
          <w:p w:rsidR="00C77E20" w:rsidRPr="00C77E20" w:rsidRDefault="00C77E20" w:rsidP="00C77E20">
            <w:pPr>
              <w:spacing w:before="25" w:after="25"/>
              <w:ind w:firstLine="142"/>
              <w:rPr>
                <w:rFonts w:eastAsia="Times New Roman" w:cs="Times New Roman"/>
                <w:sz w:val="20"/>
                <w:szCs w:val="20"/>
                <w:shd w:val="clear" w:color="auto" w:fill="auto"/>
              </w:rPr>
            </w:pPr>
            <w:r w:rsidRPr="00C77E20">
              <w:rPr>
                <w:rFonts w:eastAsia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</w:tr>
    </w:tbl>
    <w:p w:rsidR="00C77E20" w:rsidRPr="00C77E20" w:rsidRDefault="00C77E20" w:rsidP="00C77E20">
      <w:pPr>
        <w:shd w:val="clear" w:color="auto" w:fill="FFFFFF"/>
        <w:spacing w:before="25" w:after="25" w:line="250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proofErr w:type="gramStart"/>
      <w:r w:rsidRPr="00C77E2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</w:rPr>
        <w:t>П</w:t>
      </w:r>
      <w:proofErr w:type="gramEnd"/>
      <w:r w:rsidRPr="00C77E2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</w:rPr>
        <w:t xml:space="preserve"> О Л О Ж Е Н И Е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jc w:val="center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о добровольных пожертвованиях и целевых взносах</w:t>
      </w:r>
    </w:p>
    <w:p w:rsidR="00C77E20" w:rsidRPr="00C77E20" w:rsidRDefault="00C77E20" w:rsidP="00C77E20">
      <w:pPr>
        <w:shd w:val="clear" w:color="auto" w:fill="FFFFFF"/>
        <w:spacing w:before="25" w:after="25" w:line="250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МБОУ «СОШ №2 им. Д.Х.Скрябина» ГО «Жатай»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left="300" w:hanging="200"/>
        <w:jc w:val="center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1.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Общие положения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633059">
      <w:pPr>
        <w:shd w:val="clear" w:color="auto" w:fill="FFFFFF"/>
        <w:spacing w:before="25" w:after="25" w:line="250" w:lineRule="atLeast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1.1. 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Положение регулирует порядок привлечения, расходования и учета добровольных пожертвований и целевых взносов физических и юридических лиц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МБОУ «СОШ №2 им. Д.Х.Скрябина» ГО «Жатай»</w:t>
      </w:r>
      <w:r w:rsid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далее – школа).</w:t>
      </w:r>
      <w:proofErr w:type="gramEnd"/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1.2. Настоящее Положение разработано в соответствии с федеральным законом РФ от 29 декабря 2012 года № 273-ФЗ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школы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1.3. Добровольные пожертвования и целевые взносы физических и юридических лиц школе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бескорыстному</w:t>
      </w:r>
      <w:proofErr w:type="gramEnd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выполнению работ, предоставлению услуг, оказанию иной поддержки.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jc w:val="center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2.        </w:t>
      </w:r>
      <w:r w:rsidRPr="00633059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Цели и задачи, порядок привлечения добровольных пожертвований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2.4. Школа, Управляющий совет 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школы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, общешкольный родительский комитет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,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родительский комитет</w:t>
      </w:r>
      <w:r w:rsidRPr="00633059">
        <w:rPr>
          <w:rFonts w:eastAsia="Times New Roman" w:cs="Times New Roman"/>
          <w:iCs/>
          <w:color w:val="000000"/>
          <w:sz w:val="24"/>
          <w:szCs w:val="24"/>
          <w:shd w:val="clear" w:color="auto" w:fill="auto"/>
        </w:rPr>
        <w:t> класса</w:t>
      </w:r>
      <w:r w:rsidRPr="00633059">
        <w:rPr>
          <w:rFonts w:eastAsia="Times New Roman" w:cs="Times New Roman"/>
          <w:i/>
          <w:iCs/>
          <w:color w:val="000000"/>
          <w:sz w:val="24"/>
          <w:szCs w:val="24"/>
          <w:shd w:val="clear" w:color="auto" w:fill="auto"/>
        </w:rPr>
        <w:t xml:space="preserve"> 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вправе обратиться как в устной, так и в</w:t>
      </w:r>
      <w:r w:rsidRPr="00633059">
        <w:rPr>
          <w:rFonts w:eastAsia="Times New Roman" w:cs="Times New Roman"/>
          <w:i/>
          <w:iCs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письменной форме к физическим и юридическим лицам с просьбой об оказании помощи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учреждению с указанием цели привлечения добровольных пожертвований и целевых</w:t>
      </w:r>
      <w:r w:rsidRPr="00633059">
        <w:rPr>
          <w:rFonts w:eastAsia="Times New Roman" w:cs="Times New Roman"/>
          <w:i/>
          <w:iCs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взносов.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2.5. Если цели добровольного пожертвования не обозначены, то они используются администрацией школы по согласованию с Управляющим советом 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школы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или общешкольным родительским комитетом</w:t>
      </w:r>
      <w:r w:rsidRPr="00633059">
        <w:rPr>
          <w:rFonts w:eastAsia="Times New Roman" w:cs="Times New Roman"/>
          <w:i/>
          <w:iCs/>
          <w:color w:val="000000"/>
          <w:sz w:val="24"/>
          <w:szCs w:val="24"/>
          <w:shd w:val="clear" w:color="auto" w:fill="auto"/>
        </w:rPr>
        <w:t> 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на</w:t>
      </w:r>
      <w:proofErr w:type="gramEnd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: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реализацию программы развития школы;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улучшения материально-технического обеспечения школы;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ремонтно-строительные работы в школе;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организацию воспитательного и образовательного процесса;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проведение мероприятий в школе;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создание интерьеров, эстетического оформления школы;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благоустройство территории;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содержание и обслуживание множительной техники;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материальное стимулирование работников школы;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- на поощрение 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обучающихся</w:t>
      </w:r>
      <w:proofErr w:type="gramEnd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lastRenderedPageBreak/>
        <w:t>- на приобретение: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книг и учебно-методических пособий;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технических средств обучения;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мебели, инструментов и оборудования;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канцтоваров и хозяйственных материалов;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материалов для уроков технологии;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наглядных пособий;</w:t>
      </w:r>
    </w:p>
    <w:p w:rsidR="00C77E20" w:rsidRPr="00633059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средств дезинфекции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- другие образовательные цели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3.        </w:t>
      </w:r>
      <w:r w:rsidRPr="00633059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Порядок приема и учета добровольных пожертвований и целевых взносов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3.1. Добровольные пожертвования и целевые взносы могут быть переданы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физическими и юридическими лицами школе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3.2. Добровольные пожертвования могут также выражаться в 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добровольном</w:t>
      </w:r>
      <w:proofErr w:type="gramEnd"/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безвозмездном 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выполнении</w:t>
      </w:r>
      <w:proofErr w:type="gramEnd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работ и оказании услуг (добровольческая деятельность),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3.3. Передача добровольного пожертвования 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свыше трех тысяч рублей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и целевого взноса осуществляется физическими лицами 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и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юридическими лицами на основании договора, согласно приложени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ю №1 к настоящему Положению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3.4. Добровольные пожертвования и 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целевые взносы, поступающие от физических лиц в виде наличных денежных средств вносятся</w:t>
      </w:r>
      <w:proofErr w:type="gramEnd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в кассу школы с оформлением приходного кассового ордера.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3.5.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Добровольные пожертвования и 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целевые взносы, поступающие в безналичном порядке вносятся</w:t>
      </w:r>
      <w:proofErr w:type="gramEnd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3.6. Добровольные пожертвования и целевые взносы в виде денежных средств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перечисляются на счет школы. В платежном документе может быть указано целевое назначение взноса.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3.9. Стоимость передаваемого имущества, вещи или имущественных прав определяются сторонами договора.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jc w:val="center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4.        </w:t>
      </w:r>
      <w:r w:rsidRPr="00633059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Порядок расходования добровольных пожертвований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4.1. Распоряжение привлеченными добровольными пожертвованиями осуществляет директор школы в соответствии с утвержденной сметой, согласованной с Управляющим советом школы.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4.2. Расходование привлеченных сре</w:t>
      </w:r>
      <w:proofErr w:type="gramStart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дств шк</w:t>
      </w:r>
      <w:proofErr w:type="gramEnd"/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олой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 школы.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jc w:val="center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lastRenderedPageBreak/>
        <w:t>5.        </w:t>
      </w:r>
      <w:r w:rsidRPr="00633059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Ответственность и обеспечение контроля расходования добровольных пожертвований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5.1. Управляющий совет 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школы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осуществляют контроль за переданными школе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добровольными пожертвованиями и целевыми взносами.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5.2. При привлечении добровольных пожертвований и целевых взносов школа обязана ежегодно представлять 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отчет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об использовании средств Управляющему совету 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школы.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5.3. Ответственность за нецелевое использование добровольных пожертвований и целевых взносов нес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ет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директор школы, главный бухгалтер школы.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ind w:left="720" w:right="-8" w:hanging="72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6.        </w:t>
      </w:r>
      <w:r w:rsidRPr="00633059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Порядок принятия положения, внесения в него изменений и дополнений</w:t>
      </w:r>
    </w:p>
    <w:p w:rsidR="00C77E20" w:rsidRPr="00C77E20" w:rsidRDefault="00C77E20" w:rsidP="00C77E20">
      <w:pPr>
        <w:shd w:val="clear" w:color="auto" w:fill="FFFFFF"/>
        <w:ind w:left="720" w:right="-8" w:hanging="720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b/>
          <w:bCs/>
          <w:i/>
          <w:iCs/>
          <w:color w:val="000000"/>
          <w:sz w:val="24"/>
          <w:szCs w:val="24"/>
          <w:shd w:val="clear" w:color="auto" w:fill="auto"/>
        </w:rPr>
        <w:t> </w:t>
      </w:r>
    </w:p>
    <w:p w:rsidR="00C77E20" w:rsidRPr="00C77E20" w:rsidRDefault="00C77E20" w:rsidP="00C77E20">
      <w:pPr>
        <w:shd w:val="clear" w:color="auto" w:fill="FFFFFF"/>
        <w:spacing w:before="25" w:after="25"/>
        <w:ind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6.1.     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Положение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о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добровольных пожертвованиях и целевых взносах</w:t>
      </w:r>
    </w:p>
    <w:p w:rsidR="00C77E20" w:rsidRPr="00C77E20" w:rsidRDefault="00C77E20" w:rsidP="00C77E20">
      <w:pPr>
        <w:shd w:val="clear" w:color="auto" w:fill="FFFFFF"/>
        <w:spacing w:before="25" w:after="25"/>
        <w:ind w:right="-8" w:firstLine="0"/>
        <w:jc w:val="left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школы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, а также изменения и дополнения к нему, принимаются на заседании 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Педагогического совета, Управляющего совета школы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 xml:space="preserve"> и утверждаются приказом по школе.</w:t>
      </w:r>
    </w:p>
    <w:p w:rsidR="00C77E20" w:rsidRPr="00C77E20" w:rsidRDefault="00C77E20" w:rsidP="00C77E20">
      <w:pPr>
        <w:shd w:val="clear" w:color="auto" w:fill="FFFFFF"/>
        <w:ind w:left="720" w:right="-8" w:hanging="720"/>
        <w:jc w:val="left"/>
        <w:rPr>
          <w:rFonts w:eastAsia="Times New Roman" w:cs="Times New Roman"/>
          <w:color w:val="000000"/>
          <w:sz w:val="24"/>
          <w:szCs w:val="24"/>
          <w:shd w:val="clear" w:color="auto" w:fill="auto"/>
        </w:rPr>
      </w:pP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6.2.     </w:t>
      </w:r>
      <w:r w:rsidRPr="00633059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 </w:t>
      </w:r>
      <w:r w:rsidRPr="00C77E20">
        <w:rPr>
          <w:rFonts w:eastAsia="Times New Roman" w:cs="Times New Roman"/>
          <w:color w:val="000000"/>
          <w:sz w:val="24"/>
          <w:szCs w:val="24"/>
          <w:shd w:val="clear" w:color="auto" w:fill="auto"/>
        </w:rPr>
        <w:t>Срок действия данного Положения не ограничен.</w:t>
      </w:r>
    </w:p>
    <w:p w:rsidR="00DA22E0" w:rsidRPr="00633059" w:rsidRDefault="00DA22E0">
      <w:pPr>
        <w:rPr>
          <w:rFonts w:cs="Times New Roman"/>
          <w:sz w:val="24"/>
          <w:szCs w:val="24"/>
        </w:rPr>
      </w:pPr>
    </w:p>
    <w:sectPr w:rsidR="00DA22E0" w:rsidRPr="00633059" w:rsidSect="0063305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E20"/>
    <w:rsid w:val="00227954"/>
    <w:rsid w:val="00234505"/>
    <w:rsid w:val="002E3AA1"/>
    <w:rsid w:val="00465E92"/>
    <w:rsid w:val="00493BC5"/>
    <w:rsid w:val="00633059"/>
    <w:rsid w:val="006951D7"/>
    <w:rsid w:val="00751963"/>
    <w:rsid w:val="008E7CCC"/>
    <w:rsid w:val="00993FD2"/>
    <w:rsid w:val="00A13983"/>
    <w:rsid w:val="00B5647E"/>
    <w:rsid w:val="00B71267"/>
    <w:rsid w:val="00C25F76"/>
    <w:rsid w:val="00C77E20"/>
    <w:rsid w:val="00D35359"/>
    <w:rsid w:val="00DA22E0"/>
    <w:rsid w:val="00EA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5"/>
    <w:rPr>
      <w:rFonts w:ascii="Times New Roman" w:hAnsi="Times New Roman"/>
      <w:sz w:val="28"/>
      <w:szCs w:val="28"/>
      <w:shd w:val="clear" w:color="auto" w:fill="CCCCCC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BC5"/>
    <w:rPr>
      <w:rFonts w:ascii="Verdana" w:hAnsi="Verdana"/>
      <w:i/>
      <w:iCs/>
      <w:sz w:val="18"/>
      <w:szCs w:val="18"/>
      <w:shd w:val="clear" w:color="auto" w:fill="E4E4E2"/>
    </w:rPr>
  </w:style>
  <w:style w:type="character" w:customStyle="1" w:styleId="10">
    <w:name w:val="Заголовок 1 Знак"/>
    <w:basedOn w:val="a0"/>
    <w:link w:val="1"/>
    <w:uiPriority w:val="9"/>
    <w:rsid w:val="00493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493BC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10"/>
    <w:qFormat/>
    <w:rsid w:val="00C77E2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shd w:val="clear" w:color="auto" w:fill="auto"/>
    </w:rPr>
  </w:style>
  <w:style w:type="character" w:customStyle="1" w:styleId="a6">
    <w:name w:val="Название Знак"/>
    <w:basedOn w:val="a0"/>
    <w:link w:val="a5"/>
    <w:uiPriority w:val="10"/>
    <w:rsid w:val="00C77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2016-01-14T03:03:00Z</dcterms:created>
  <dcterms:modified xsi:type="dcterms:W3CDTF">2016-01-18T03:10:00Z</dcterms:modified>
</cp:coreProperties>
</file>